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0054DB" w14:textId="77777777" w:rsidR="00E403A1" w:rsidRPr="00902589" w:rsidRDefault="00E403A1" w:rsidP="00902589">
      <w:pPr>
        <w:pStyle w:val="Styl1"/>
        <w:tabs>
          <w:tab w:val="left" w:pos="284"/>
        </w:tabs>
        <w:spacing w:before="360" w:after="120"/>
        <w:rPr>
          <w:rFonts w:asciiTheme="minorHAnsi" w:hAnsiTheme="minorHAnsi" w:cstheme="minorHAnsi"/>
          <w:caps/>
          <w:sz w:val="24"/>
          <w:szCs w:val="24"/>
          <w:u w:val="single"/>
        </w:rPr>
      </w:pPr>
      <w:r w:rsidRPr="00902589">
        <w:rPr>
          <w:rFonts w:asciiTheme="minorHAnsi" w:hAnsiTheme="minorHAnsi" w:cstheme="minorHAnsi"/>
          <w:caps/>
          <w:sz w:val="24"/>
          <w:szCs w:val="24"/>
          <w:u w:val="single"/>
        </w:rPr>
        <w:t>ochrana informacÍ a KYBERNETICKÁ BEZPEČNOST</w:t>
      </w:r>
    </w:p>
    <w:p w14:paraId="6AC418C4" w14:textId="77777777" w:rsidR="00E403A1" w:rsidRPr="00F94B42" w:rsidRDefault="00E403A1" w:rsidP="00E403A1">
      <w:pPr>
        <w:pStyle w:val="Odstavecseseznamem"/>
        <w:numPr>
          <w:ilvl w:val="1"/>
          <w:numId w:val="3"/>
        </w:numPr>
        <w:spacing w:after="0" w:line="240" w:lineRule="auto"/>
        <w:ind w:left="709" w:hanging="709"/>
        <w:contextualSpacing w:val="0"/>
        <w:jc w:val="both"/>
        <w:rPr>
          <w:rFonts w:eastAsia="Times New Roman" w:cstheme="minorHAnsi"/>
          <w:sz w:val="24"/>
          <w:szCs w:val="24"/>
          <w:lang w:eastAsia="ar-SA"/>
        </w:rPr>
      </w:pPr>
      <w:r w:rsidRPr="00F94B42">
        <w:rPr>
          <w:rFonts w:eastAsia="Times New Roman" w:cstheme="minorHAnsi"/>
          <w:sz w:val="24"/>
          <w:szCs w:val="24"/>
          <w:lang w:eastAsia="ar-SA"/>
        </w:rPr>
        <w:t>Poskytovatel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Poskytovatel seznámil, prokazatelně veřejně přístupné nebo těch, které se bez zavinění Poskytovatele veřejně přístupnými stanou (dále jen „důvěrné informace“).</w:t>
      </w:r>
    </w:p>
    <w:p w14:paraId="7FF714C8" w14:textId="23B04532" w:rsidR="00E403A1" w:rsidRPr="00F94B42" w:rsidRDefault="00E403A1" w:rsidP="00E403A1">
      <w:pPr>
        <w:pStyle w:val="Odstavecseseznamem"/>
        <w:numPr>
          <w:ilvl w:val="1"/>
          <w:numId w:val="3"/>
        </w:numPr>
        <w:spacing w:after="0" w:line="240" w:lineRule="auto"/>
        <w:ind w:left="709" w:hanging="709"/>
        <w:contextualSpacing w:val="0"/>
        <w:jc w:val="both"/>
        <w:rPr>
          <w:rFonts w:eastAsia="Times New Roman" w:cstheme="minorHAnsi"/>
          <w:sz w:val="24"/>
          <w:szCs w:val="24"/>
          <w:lang w:eastAsia="ar-SA"/>
        </w:rPr>
      </w:pPr>
      <w:r w:rsidRPr="00D00D47">
        <w:rPr>
          <w:rFonts w:cstheme="minorHAnsi"/>
          <w:sz w:val="24"/>
          <w:szCs w:val="24"/>
        </w:rPr>
        <w:t>Poskytovatel se uzavřením Dohody o mlčenlivosti, ochraně informací a zákazu jejich zneužití (</w:t>
      </w:r>
      <w:r w:rsidR="00040838" w:rsidRPr="00D00D47">
        <w:rPr>
          <w:rFonts w:cstheme="minorHAnsi"/>
          <w:sz w:val="24"/>
          <w:szCs w:val="24"/>
        </w:rPr>
        <w:t>dle</w:t>
      </w:r>
      <w:r w:rsidRPr="00D00D47">
        <w:rPr>
          <w:rFonts w:cstheme="minorHAnsi"/>
          <w:sz w:val="24"/>
          <w:szCs w:val="24"/>
        </w:rPr>
        <w:t xml:space="preserve"> </w:t>
      </w:r>
      <w:r w:rsidR="00D00D47" w:rsidRPr="00D00D47">
        <w:rPr>
          <w:rFonts w:cstheme="minorHAnsi"/>
          <w:sz w:val="24"/>
          <w:szCs w:val="24"/>
        </w:rPr>
        <w:t xml:space="preserve">Přílohy č. 8 </w:t>
      </w:r>
      <w:r w:rsidRPr="00D00D47">
        <w:rPr>
          <w:rFonts w:cstheme="minorHAnsi"/>
          <w:sz w:val="24"/>
          <w:szCs w:val="24"/>
        </w:rPr>
        <w:t>Smlouvy) s Objednatelem zavazuje zachovávat</w:t>
      </w:r>
      <w:r w:rsidRPr="00F94B42">
        <w:rPr>
          <w:rFonts w:cstheme="minorHAnsi"/>
          <w:sz w:val="24"/>
          <w:szCs w:val="24"/>
        </w:rPr>
        <w:t xml:space="preserve"> mlčenlivost a důvěrnost dat uložených na technických prostředcích i Objednatele využívaných k poskytování Služby, např. v případě servisního zásahu, odstranění incidentu apod. Poskytovatel se zavazuje tato data chránit a nezneužít pro sebe nebo třetí osobu, jakož je ani třetí osobě nesdělit či nezpřístupnit. Dále se Poskytovatel zavazuje, že zneužita, využita, poskytnuta nebo zpřístupněna třetím osobám nebudou též jakákoli data Objednatele, která by i neúmyslně získal při poskytování Služby, a i v těchto případech je povinen Poskytovatel zachovávat mlčenlivost a důvěrnost dat.</w:t>
      </w:r>
    </w:p>
    <w:p w14:paraId="44E526FB" w14:textId="77777777" w:rsidR="00E403A1" w:rsidRPr="00F94B42" w:rsidRDefault="00E403A1" w:rsidP="00E403A1">
      <w:pPr>
        <w:pStyle w:val="Odstavecseseznamem"/>
        <w:numPr>
          <w:ilvl w:val="1"/>
          <w:numId w:val="3"/>
        </w:numPr>
        <w:spacing w:after="0" w:line="240" w:lineRule="auto"/>
        <w:ind w:left="709" w:hanging="709"/>
        <w:contextualSpacing w:val="0"/>
        <w:jc w:val="both"/>
        <w:rPr>
          <w:rFonts w:eastAsia="Times New Roman" w:cstheme="minorHAnsi"/>
          <w:sz w:val="24"/>
          <w:szCs w:val="24"/>
          <w:lang w:eastAsia="ar-SA"/>
        </w:rPr>
      </w:pPr>
      <w:r w:rsidRPr="00F94B42">
        <w:rPr>
          <w:rFonts w:cstheme="minorHAnsi"/>
          <w:sz w:val="24"/>
          <w:szCs w:val="24"/>
        </w:rPr>
        <w:t>Povinnost mlčenlivosti zahrnuje také mlčenlivost Poskytovatele ohledně osobních údajů. Bude-li Poskytovatel s osobními údaji nakládat při realizaci předmětu této Smlouvy, odpovídá Poskytovatel za to, že z jeho strany bude případné nakládání s těmito osobními údaji v souladu s příslušnými právními předpisy o ochraně osobních údajů, zejména v souladu se zákonem č. 110/2019 Sb., v účinném znění, zákon o zpracování osobních údajů, a dále s nařízením Evropského parlamentu a Rady (EU) 2016/679 ze dne 27. dubna 2016 o ochraně fyzických osob v souvislosti se zpracováním osobních údajů a o volném pohybu těchto údajů a o zrušení směrnice 95/46/ES (obecné nařízení o ochraně osobních údajů; GDPR).</w:t>
      </w:r>
    </w:p>
    <w:p w14:paraId="26153B6F" w14:textId="177BDADB" w:rsidR="00E403A1" w:rsidRPr="00F94B42" w:rsidRDefault="00E403A1" w:rsidP="00E403A1">
      <w:pPr>
        <w:pStyle w:val="Odstavecseseznamem"/>
        <w:numPr>
          <w:ilvl w:val="1"/>
          <w:numId w:val="3"/>
        </w:numPr>
        <w:spacing w:after="0" w:line="240" w:lineRule="auto"/>
        <w:ind w:left="709" w:hanging="709"/>
        <w:contextualSpacing w:val="0"/>
        <w:jc w:val="both"/>
        <w:rPr>
          <w:rFonts w:eastAsia="Times New Roman" w:cstheme="minorHAnsi"/>
          <w:sz w:val="24"/>
          <w:szCs w:val="24"/>
          <w:lang w:eastAsia="ar-SA"/>
        </w:rPr>
      </w:pPr>
      <w:r w:rsidRPr="00F94B42">
        <w:rPr>
          <w:rFonts w:cstheme="minorHAnsi"/>
          <w:sz w:val="24"/>
          <w:szCs w:val="24"/>
        </w:rPr>
        <w:t>O získání dat podle odstavců 1 až 3 je Poskytovatel povinen Objednatele informovat bez zbytečného odkladu, nejpozději však do 2 (dvou) pracovních dnů.</w:t>
      </w:r>
    </w:p>
    <w:p w14:paraId="1795D968" w14:textId="2E5DBFCD" w:rsidR="00E403A1" w:rsidRPr="00F94B42" w:rsidRDefault="00E403A1" w:rsidP="00E403A1">
      <w:pPr>
        <w:pStyle w:val="Odstavecseseznamem"/>
        <w:numPr>
          <w:ilvl w:val="1"/>
          <w:numId w:val="3"/>
        </w:numPr>
        <w:spacing w:after="0" w:line="240" w:lineRule="auto"/>
        <w:ind w:left="709" w:hanging="709"/>
        <w:contextualSpacing w:val="0"/>
        <w:jc w:val="both"/>
        <w:rPr>
          <w:rFonts w:eastAsia="Times New Roman" w:cstheme="minorHAnsi"/>
          <w:sz w:val="24"/>
          <w:szCs w:val="24"/>
          <w:lang w:eastAsia="ar-SA"/>
        </w:rPr>
      </w:pPr>
      <w:r w:rsidRPr="00F94B42">
        <w:rPr>
          <w:rFonts w:cstheme="minorHAnsi"/>
          <w:sz w:val="24"/>
          <w:szCs w:val="24"/>
        </w:rPr>
        <w:t xml:space="preserve">Povinnosti podle odstavců </w:t>
      </w:r>
      <w:r w:rsidR="00125633">
        <w:rPr>
          <w:rFonts w:cstheme="minorHAnsi"/>
          <w:sz w:val="24"/>
          <w:szCs w:val="24"/>
        </w:rPr>
        <w:t>1</w:t>
      </w:r>
      <w:r w:rsidRPr="00F94B42">
        <w:rPr>
          <w:rFonts w:cstheme="minorHAnsi"/>
          <w:sz w:val="24"/>
          <w:szCs w:val="24"/>
        </w:rPr>
        <w:t xml:space="preserve"> až 3 je Poskytovatel povinen zachovávat i po skončení platnosti této Smlouvy, vyjma případů, kdy se důvěrné informace stanou prokazatelně veřejně přístupné bez zavinění Poskytovatele.</w:t>
      </w:r>
    </w:p>
    <w:p w14:paraId="6AC23A94" w14:textId="5948FA59" w:rsidR="00E403A1" w:rsidRPr="00F94B42" w:rsidRDefault="00E403A1" w:rsidP="00E403A1">
      <w:pPr>
        <w:pStyle w:val="Odstavecseseznamem"/>
        <w:numPr>
          <w:ilvl w:val="1"/>
          <w:numId w:val="3"/>
        </w:numPr>
        <w:spacing w:after="0" w:line="240" w:lineRule="auto"/>
        <w:ind w:left="709" w:hanging="709"/>
        <w:contextualSpacing w:val="0"/>
        <w:jc w:val="both"/>
        <w:rPr>
          <w:rFonts w:eastAsia="Times New Roman" w:cstheme="minorHAnsi"/>
          <w:sz w:val="24"/>
          <w:szCs w:val="24"/>
          <w:lang w:eastAsia="ar-SA"/>
        </w:rPr>
      </w:pPr>
      <w:r w:rsidRPr="00F94B42">
        <w:rPr>
          <w:rFonts w:cstheme="minorHAnsi"/>
          <w:sz w:val="24"/>
          <w:szCs w:val="24"/>
        </w:rPr>
        <w:t>Povinnosti podle odstavců 1 až 3 se nevztahují na případy, kdy je Poskytovatel povinen zveřejnit důvěrnou informaci na základě povinnosti uložené Poskytovateli právním předpisem nebo rozhodnutím orgánu veřejné moci.</w:t>
      </w:r>
    </w:p>
    <w:p w14:paraId="384E2AC4" w14:textId="77777777" w:rsidR="00E403A1" w:rsidRPr="00166DE5" w:rsidRDefault="00E403A1" w:rsidP="00E403A1">
      <w:pPr>
        <w:pStyle w:val="Odstavecseseznamem"/>
        <w:numPr>
          <w:ilvl w:val="1"/>
          <w:numId w:val="3"/>
        </w:numPr>
        <w:spacing w:after="0" w:line="240" w:lineRule="auto"/>
        <w:ind w:left="709" w:hanging="709"/>
        <w:contextualSpacing w:val="0"/>
        <w:jc w:val="both"/>
        <w:rPr>
          <w:rFonts w:eastAsia="Times New Roman" w:cstheme="minorHAnsi"/>
          <w:sz w:val="24"/>
          <w:szCs w:val="24"/>
          <w:lang w:eastAsia="ar-SA"/>
        </w:rPr>
      </w:pPr>
      <w:r w:rsidRPr="00F94B42">
        <w:rPr>
          <w:rFonts w:cstheme="minorHAnsi"/>
          <w:sz w:val="24"/>
          <w:szCs w:val="24"/>
        </w:rPr>
        <w:t>Smluvní strany jsou si vědomy toho, že v rámci plnění závazků z této Smlouvy:</w:t>
      </w:r>
    </w:p>
    <w:p w14:paraId="29CB635E" w14:textId="77777777" w:rsidR="00E403A1" w:rsidRDefault="00E403A1" w:rsidP="00E403A1">
      <w:pPr>
        <w:pStyle w:val="Odstavecseseznamem"/>
        <w:numPr>
          <w:ilvl w:val="4"/>
          <w:numId w:val="2"/>
        </w:numPr>
        <w:spacing w:after="0" w:line="240" w:lineRule="auto"/>
        <w:ind w:left="1134" w:hanging="425"/>
        <w:contextualSpacing w:val="0"/>
        <w:jc w:val="both"/>
        <w:rPr>
          <w:rFonts w:cstheme="minorHAnsi"/>
          <w:sz w:val="24"/>
          <w:szCs w:val="24"/>
        </w:rPr>
      </w:pPr>
      <w:r w:rsidRPr="00166DE5">
        <w:rPr>
          <w:rFonts w:cstheme="minorHAnsi"/>
          <w:sz w:val="24"/>
          <w:szCs w:val="24"/>
        </w:rPr>
        <w:t>si mohou vzájemně vědomě nebo opominutím poskytnout informace, které budou považovány za důvěrné,</w:t>
      </w:r>
    </w:p>
    <w:p w14:paraId="7AAFCF88" w14:textId="77777777" w:rsidR="00E403A1" w:rsidRPr="00200AB6" w:rsidRDefault="00E403A1" w:rsidP="00E403A1">
      <w:pPr>
        <w:pStyle w:val="Odstavecseseznamem"/>
        <w:numPr>
          <w:ilvl w:val="4"/>
          <w:numId w:val="2"/>
        </w:numPr>
        <w:spacing w:after="0" w:line="240" w:lineRule="auto"/>
        <w:ind w:left="1134" w:hanging="425"/>
        <w:contextualSpacing w:val="0"/>
        <w:jc w:val="both"/>
        <w:rPr>
          <w:rFonts w:cstheme="minorHAnsi"/>
          <w:sz w:val="24"/>
          <w:szCs w:val="24"/>
        </w:rPr>
      </w:pPr>
      <w:r w:rsidRPr="00F94B42">
        <w:rPr>
          <w:rFonts w:cstheme="minorHAnsi"/>
          <w:sz w:val="24"/>
          <w:szCs w:val="24"/>
        </w:rPr>
        <w:t>mohou jejich zaměstnanci a osoby v obdobném postavení získat vědomou činností druhé strany nebo i jejím opominutím přístup k důvěrným informacím druhé strany.</w:t>
      </w:r>
    </w:p>
    <w:p w14:paraId="45B99210" w14:textId="77777777" w:rsidR="00E403A1" w:rsidRDefault="00E403A1" w:rsidP="00E403A1">
      <w:pPr>
        <w:pStyle w:val="Odstavecseseznamem"/>
        <w:numPr>
          <w:ilvl w:val="1"/>
          <w:numId w:val="3"/>
        </w:numPr>
        <w:spacing w:after="0" w:line="240" w:lineRule="auto"/>
        <w:ind w:left="709" w:hanging="709"/>
        <w:contextualSpacing w:val="0"/>
        <w:jc w:val="both"/>
        <w:rPr>
          <w:rFonts w:cstheme="minorHAnsi"/>
          <w:sz w:val="24"/>
          <w:szCs w:val="24"/>
        </w:rPr>
      </w:pPr>
      <w:r w:rsidRPr="00F94B42">
        <w:rPr>
          <w:rFonts w:cstheme="minorHAnsi"/>
          <w:sz w:val="24"/>
          <w:szCs w:val="24"/>
        </w:rPr>
        <w:t>Smluvní strany se zavazují, že žádná z nich nezpřístupní třetí osobě důvěrné informace, které při plnění této Smlouvy získala od druhé smluvní strany</w:t>
      </w:r>
      <w:r>
        <w:rPr>
          <w:rFonts w:cstheme="minorHAnsi"/>
          <w:sz w:val="24"/>
          <w:szCs w:val="24"/>
        </w:rPr>
        <w:t>.</w:t>
      </w:r>
    </w:p>
    <w:p w14:paraId="7B253AD0" w14:textId="77777777" w:rsidR="00E403A1" w:rsidRDefault="00E403A1" w:rsidP="00E403A1">
      <w:pPr>
        <w:pStyle w:val="Odstavecseseznamem"/>
        <w:numPr>
          <w:ilvl w:val="1"/>
          <w:numId w:val="3"/>
        </w:numPr>
        <w:spacing w:after="0" w:line="240" w:lineRule="auto"/>
        <w:ind w:left="709" w:hanging="709"/>
        <w:contextualSpacing w:val="0"/>
        <w:jc w:val="both"/>
        <w:rPr>
          <w:rFonts w:cstheme="minorHAnsi"/>
          <w:sz w:val="24"/>
          <w:szCs w:val="24"/>
        </w:rPr>
      </w:pPr>
      <w:r w:rsidRPr="00DD01F1">
        <w:rPr>
          <w:rFonts w:cstheme="minorHAnsi"/>
          <w:sz w:val="24"/>
          <w:szCs w:val="24"/>
        </w:rPr>
        <w:t>Za třetí osoby podle tohoto článku se nepovažují:</w:t>
      </w:r>
    </w:p>
    <w:p w14:paraId="5E4E36F2" w14:textId="77777777" w:rsidR="00E403A1" w:rsidRDefault="00E403A1" w:rsidP="00E403A1">
      <w:pPr>
        <w:pStyle w:val="Odstavecseseznamem"/>
        <w:numPr>
          <w:ilvl w:val="0"/>
          <w:numId w:val="5"/>
        </w:numPr>
        <w:spacing w:after="0" w:line="240" w:lineRule="auto"/>
        <w:ind w:left="1134"/>
        <w:contextualSpacing w:val="0"/>
        <w:jc w:val="both"/>
        <w:rPr>
          <w:rFonts w:cstheme="minorHAnsi"/>
          <w:sz w:val="24"/>
          <w:szCs w:val="24"/>
        </w:rPr>
      </w:pPr>
      <w:r w:rsidRPr="00DD01F1">
        <w:rPr>
          <w:rFonts w:cstheme="minorHAnsi"/>
          <w:sz w:val="24"/>
          <w:szCs w:val="24"/>
        </w:rPr>
        <w:t>zaměstnanci smluvních stran a osoby v obdobném postavení,</w:t>
      </w:r>
    </w:p>
    <w:p w14:paraId="799EC5A4" w14:textId="77777777" w:rsidR="00E403A1" w:rsidRDefault="00E403A1" w:rsidP="00E403A1">
      <w:pPr>
        <w:pStyle w:val="Odstavecseseznamem"/>
        <w:numPr>
          <w:ilvl w:val="0"/>
          <w:numId w:val="5"/>
        </w:numPr>
        <w:spacing w:after="0" w:line="240" w:lineRule="auto"/>
        <w:ind w:left="1134"/>
        <w:contextualSpacing w:val="0"/>
        <w:jc w:val="both"/>
        <w:rPr>
          <w:rFonts w:cstheme="minorHAnsi"/>
          <w:sz w:val="24"/>
          <w:szCs w:val="24"/>
        </w:rPr>
      </w:pPr>
      <w:r w:rsidRPr="00AA44CD">
        <w:rPr>
          <w:rFonts w:cstheme="minorHAnsi"/>
          <w:sz w:val="24"/>
          <w:szCs w:val="24"/>
        </w:rPr>
        <w:t>orgány smluvních stran a jejich členové,</w:t>
      </w:r>
    </w:p>
    <w:p w14:paraId="5B111BB6" w14:textId="77777777" w:rsidR="00E403A1" w:rsidRDefault="00E403A1" w:rsidP="00E403A1">
      <w:pPr>
        <w:pStyle w:val="Odstavecseseznamem"/>
        <w:numPr>
          <w:ilvl w:val="0"/>
          <w:numId w:val="5"/>
        </w:numPr>
        <w:spacing w:after="0" w:line="240" w:lineRule="auto"/>
        <w:ind w:left="1134"/>
        <w:contextualSpacing w:val="0"/>
        <w:jc w:val="both"/>
        <w:rPr>
          <w:rFonts w:cstheme="minorHAnsi"/>
          <w:sz w:val="24"/>
          <w:szCs w:val="24"/>
        </w:rPr>
      </w:pPr>
      <w:r w:rsidRPr="00AA44CD">
        <w:rPr>
          <w:rFonts w:cstheme="minorHAnsi"/>
          <w:sz w:val="24"/>
          <w:szCs w:val="24"/>
        </w:rPr>
        <w:lastRenderedPageBreak/>
        <w:t>ve vztahu k důvěrným informacím Objednatele subdodavatelé Poskytovatele,</w:t>
      </w:r>
    </w:p>
    <w:p w14:paraId="3A610E21" w14:textId="77777777" w:rsidR="00E403A1" w:rsidRDefault="00E403A1" w:rsidP="00E403A1">
      <w:pPr>
        <w:pStyle w:val="Odstavecseseznamem"/>
        <w:numPr>
          <w:ilvl w:val="0"/>
          <w:numId w:val="5"/>
        </w:numPr>
        <w:spacing w:after="0" w:line="240" w:lineRule="auto"/>
        <w:ind w:left="1134"/>
        <w:contextualSpacing w:val="0"/>
        <w:jc w:val="both"/>
        <w:rPr>
          <w:rFonts w:cstheme="minorHAnsi"/>
          <w:sz w:val="24"/>
          <w:szCs w:val="24"/>
        </w:rPr>
      </w:pPr>
      <w:r w:rsidRPr="00AA44CD">
        <w:rPr>
          <w:rFonts w:cstheme="minorHAnsi"/>
          <w:sz w:val="24"/>
          <w:szCs w:val="24"/>
        </w:rPr>
        <w:t>ve vztahu k důvěrným informacím Poskytovatele, externí poskytovatelé Objednatele, a</w:t>
      </w:r>
      <w:r>
        <w:rPr>
          <w:rFonts w:cstheme="minorHAnsi"/>
          <w:sz w:val="24"/>
          <w:szCs w:val="24"/>
        </w:rPr>
        <w:t> </w:t>
      </w:r>
      <w:r w:rsidRPr="00AA44CD">
        <w:rPr>
          <w:rFonts w:cstheme="minorHAnsi"/>
          <w:sz w:val="24"/>
          <w:szCs w:val="24"/>
        </w:rPr>
        <w:t>to i potenciální, za předpokladu, že se podílejí na plnění této Smlouvy nebo na plnění spojeném s 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3867C8E1" w14:textId="77777777" w:rsidR="00E403A1" w:rsidRDefault="00E403A1" w:rsidP="00E403A1">
      <w:pPr>
        <w:pStyle w:val="Odstavecseseznamem"/>
        <w:numPr>
          <w:ilvl w:val="1"/>
          <w:numId w:val="3"/>
        </w:numPr>
        <w:spacing w:after="0" w:line="240" w:lineRule="auto"/>
        <w:ind w:left="709" w:hanging="709"/>
        <w:contextualSpacing w:val="0"/>
        <w:jc w:val="both"/>
        <w:rPr>
          <w:rFonts w:cstheme="minorHAnsi"/>
          <w:sz w:val="24"/>
          <w:szCs w:val="24"/>
        </w:rPr>
      </w:pPr>
      <w:r w:rsidRPr="00E33F31">
        <w:rPr>
          <w:rFonts w:cstheme="minorHAnsi"/>
          <w:sz w:val="24"/>
          <w:szCs w:val="24"/>
        </w:rPr>
        <w:t>Bez ohledu na výše uvedená ustanovení se za důvěrné nepovažují informace, které:</w:t>
      </w:r>
    </w:p>
    <w:p w14:paraId="00921EC2" w14:textId="77777777" w:rsidR="00E403A1" w:rsidRDefault="00E403A1" w:rsidP="00E403A1">
      <w:pPr>
        <w:pStyle w:val="Odstavecseseznamem"/>
        <w:numPr>
          <w:ilvl w:val="0"/>
          <w:numId w:val="4"/>
        </w:numPr>
        <w:spacing w:after="0" w:line="240" w:lineRule="auto"/>
        <w:contextualSpacing w:val="0"/>
        <w:jc w:val="both"/>
        <w:rPr>
          <w:rFonts w:cstheme="minorHAnsi"/>
          <w:sz w:val="24"/>
          <w:szCs w:val="24"/>
        </w:rPr>
      </w:pPr>
      <w:r w:rsidRPr="00E33F31">
        <w:rPr>
          <w:rFonts w:cstheme="minorHAnsi"/>
          <w:sz w:val="24"/>
          <w:szCs w:val="24"/>
        </w:rPr>
        <w:t>se staly veřejně známými, aniž by jejich zveřejněním došlo k porušení závazků přijímající smluvní strany či právních předpisů,</w:t>
      </w:r>
    </w:p>
    <w:p w14:paraId="00B2A2BE" w14:textId="77777777" w:rsidR="00E403A1" w:rsidRDefault="00E403A1" w:rsidP="00E403A1">
      <w:pPr>
        <w:pStyle w:val="Odstavecseseznamem"/>
        <w:numPr>
          <w:ilvl w:val="0"/>
          <w:numId w:val="4"/>
        </w:numPr>
        <w:spacing w:after="0" w:line="240" w:lineRule="auto"/>
        <w:contextualSpacing w:val="0"/>
        <w:jc w:val="both"/>
        <w:rPr>
          <w:rFonts w:cstheme="minorHAnsi"/>
          <w:sz w:val="24"/>
          <w:szCs w:val="24"/>
        </w:rPr>
      </w:pPr>
      <w:r w:rsidRPr="0056225E">
        <w:rPr>
          <w:rFonts w:cstheme="minorHAnsi"/>
          <w:sz w:val="24"/>
          <w:szCs w:val="24"/>
        </w:rPr>
        <w:t>měla přijímající strana prokazatelně legálně k dispozici před uzavřením této Smlouvy, pokud takové informace nebyly předmětem jiné, dříve mezi smluvními stranami uzavřené smlouvy o ochraně informací,</w:t>
      </w:r>
    </w:p>
    <w:p w14:paraId="6019F138" w14:textId="77777777" w:rsidR="00E403A1" w:rsidRDefault="00E403A1" w:rsidP="00E403A1">
      <w:pPr>
        <w:pStyle w:val="Odstavecseseznamem"/>
        <w:numPr>
          <w:ilvl w:val="0"/>
          <w:numId w:val="4"/>
        </w:numPr>
        <w:spacing w:after="0" w:line="240" w:lineRule="auto"/>
        <w:contextualSpacing w:val="0"/>
        <w:jc w:val="both"/>
        <w:rPr>
          <w:rFonts w:cstheme="minorHAnsi"/>
          <w:sz w:val="24"/>
          <w:szCs w:val="24"/>
        </w:rPr>
      </w:pPr>
      <w:r w:rsidRPr="0056225E">
        <w:rPr>
          <w:rFonts w:cstheme="minorHAnsi"/>
          <w:sz w:val="24"/>
          <w:szCs w:val="24"/>
        </w:rPr>
        <w:t>jsou výsledkem postupu, při kterém k nim přijímající strana dospěje nezávisle a je to schopna doložit svými záznamy nebo důvěrnými informacemi třetí strany,</w:t>
      </w:r>
    </w:p>
    <w:p w14:paraId="5E47DE66" w14:textId="77777777" w:rsidR="00E403A1" w:rsidRDefault="00E403A1" w:rsidP="00E403A1">
      <w:pPr>
        <w:pStyle w:val="Odstavecseseznamem"/>
        <w:numPr>
          <w:ilvl w:val="0"/>
          <w:numId w:val="4"/>
        </w:numPr>
        <w:spacing w:after="0" w:line="240" w:lineRule="auto"/>
        <w:contextualSpacing w:val="0"/>
        <w:jc w:val="both"/>
        <w:rPr>
          <w:rFonts w:cstheme="minorHAnsi"/>
          <w:sz w:val="24"/>
          <w:szCs w:val="24"/>
        </w:rPr>
      </w:pPr>
      <w:r w:rsidRPr="0056225E">
        <w:rPr>
          <w:rFonts w:cstheme="minorHAnsi"/>
          <w:sz w:val="24"/>
          <w:szCs w:val="24"/>
        </w:rPr>
        <w:t>mají být zpřístupněny, vyžaduje-li to zákon či jiný právní předpis včetně práva EU nebo závazné rozhodnutí oprávněného orgánu veřejné moci,</w:t>
      </w:r>
    </w:p>
    <w:p w14:paraId="062BD39D" w14:textId="77777777" w:rsidR="00E403A1" w:rsidRDefault="00E403A1" w:rsidP="00E403A1">
      <w:pPr>
        <w:pStyle w:val="Odstavecseseznamem"/>
        <w:numPr>
          <w:ilvl w:val="0"/>
          <w:numId w:val="4"/>
        </w:numPr>
        <w:spacing w:after="0" w:line="240" w:lineRule="auto"/>
        <w:contextualSpacing w:val="0"/>
        <w:jc w:val="both"/>
        <w:rPr>
          <w:rFonts w:cstheme="minorHAnsi"/>
          <w:sz w:val="24"/>
          <w:szCs w:val="24"/>
        </w:rPr>
      </w:pPr>
      <w:r w:rsidRPr="0056225E">
        <w:rPr>
          <w:rFonts w:cstheme="minorHAnsi"/>
          <w:sz w:val="24"/>
          <w:szCs w:val="24"/>
        </w:rPr>
        <w:t>po podpisu této Smlouvy poskytne přijímající straně třetí osoba, jež není omezena v takovém nakládání s informacemi.</w:t>
      </w:r>
    </w:p>
    <w:p w14:paraId="5A61D85E" w14:textId="77777777" w:rsidR="00E403A1" w:rsidRDefault="00E403A1" w:rsidP="00E403A1">
      <w:pPr>
        <w:pStyle w:val="Odstavecseseznamem"/>
        <w:numPr>
          <w:ilvl w:val="1"/>
          <w:numId w:val="3"/>
        </w:numPr>
        <w:spacing w:after="0" w:line="240" w:lineRule="auto"/>
        <w:ind w:left="709" w:hanging="709"/>
        <w:contextualSpacing w:val="0"/>
        <w:jc w:val="both"/>
        <w:rPr>
          <w:rFonts w:cstheme="minorHAnsi"/>
          <w:sz w:val="24"/>
          <w:szCs w:val="24"/>
        </w:rPr>
      </w:pPr>
      <w:r w:rsidRPr="003A0E5E">
        <w:rPr>
          <w:rFonts w:cstheme="minorHAnsi"/>
          <w:sz w:val="24"/>
          <w:szCs w:val="24"/>
        </w:rPr>
        <w:t>Za porušení povinnosti ochrany důvěrných informací smluvní stranou se považují též případy, kdy tuto povinnost poruší kterákoliv z osob uvedených v bodu 12.3 této Smlouvy, které daná smluvní strana poskytla důvěrné informace druhé smluvní strany.</w:t>
      </w:r>
    </w:p>
    <w:p w14:paraId="76B68009" w14:textId="77777777" w:rsidR="00E403A1" w:rsidRDefault="00E403A1" w:rsidP="00E403A1">
      <w:pPr>
        <w:pStyle w:val="Odstavecseseznamem"/>
        <w:numPr>
          <w:ilvl w:val="1"/>
          <w:numId w:val="3"/>
        </w:numPr>
        <w:spacing w:after="0" w:line="240" w:lineRule="auto"/>
        <w:ind w:left="709" w:hanging="709"/>
        <w:contextualSpacing w:val="0"/>
        <w:jc w:val="both"/>
        <w:rPr>
          <w:rFonts w:cstheme="minorHAnsi"/>
          <w:sz w:val="24"/>
          <w:szCs w:val="24"/>
        </w:rPr>
      </w:pPr>
      <w:r w:rsidRPr="003A0E5E">
        <w:rPr>
          <w:rFonts w:cstheme="minorHAnsi"/>
          <w:sz w:val="24"/>
          <w:szCs w:val="24"/>
        </w:rPr>
        <w:t>Bez ohledu na výše uvedená ustanovení se veškeré informace vztahující se k předmětu této Smlouvy a příslušné dokumentaci považují výlučně za důvěrné informace Objednatele a Poskytovatel je povinen tyto informace chránit v souladu s touto Smlouvou. Poskytovatel při tom bere na vědomí, že povinnost ochrany těchto informací podle tohoto článku této Smlouvy se vztahuje pouze na Poskytovatele.</w:t>
      </w:r>
    </w:p>
    <w:p w14:paraId="525ADD11" w14:textId="77777777" w:rsidR="00E403A1" w:rsidRDefault="00E403A1" w:rsidP="00E403A1">
      <w:pPr>
        <w:pStyle w:val="Odstavecseseznamem"/>
        <w:numPr>
          <w:ilvl w:val="1"/>
          <w:numId w:val="3"/>
        </w:numPr>
        <w:spacing w:after="0" w:line="240" w:lineRule="auto"/>
        <w:ind w:left="709" w:hanging="709"/>
        <w:contextualSpacing w:val="0"/>
        <w:jc w:val="both"/>
        <w:rPr>
          <w:rFonts w:cstheme="minorHAnsi"/>
          <w:sz w:val="24"/>
          <w:szCs w:val="24"/>
        </w:rPr>
      </w:pPr>
      <w:r w:rsidRPr="003A0E5E">
        <w:rPr>
          <w:rFonts w:cstheme="minorHAnsi"/>
          <w:sz w:val="24"/>
          <w:szCs w:val="24"/>
        </w:rPr>
        <w:t>Za porušení ochrany důvěrných informací ze strany Objednatele nelze považovat zveřejnění informací podle zákona č. 106/1999 Sb., o svobodném přístupu k informacím, ve znění pozdějších předpisů, či dle jiných právních předpisů České republiky a Evropské unie, a to i</w:t>
      </w:r>
      <w:r>
        <w:rPr>
          <w:rFonts w:cstheme="minorHAnsi"/>
          <w:sz w:val="24"/>
          <w:szCs w:val="24"/>
        </w:rPr>
        <w:t> </w:t>
      </w:r>
      <w:r w:rsidRPr="003A0E5E">
        <w:rPr>
          <w:rFonts w:cstheme="minorHAnsi"/>
          <w:sz w:val="24"/>
          <w:szCs w:val="24"/>
        </w:rPr>
        <w:t>dosud nevydaných, jimiž je Objednateli uložena povinnost ke zveřejnění příslušných informací.</w:t>
      </w:r>
    </w:p>
    <w:p w14:paraId="02DFC280" w14:textId="77777777" w:rsidR="00E403A1" w:rsidRDefault="00E403A1" w:rsidP="00E403A1">
      <w:pPr>
        <w:pStyle w:val="Odstavecseseznamem"/>
        <w:numPr>
          <w:ilvl w:val="1"/>
          <w:numId w:val="3"/>
        </w:numPr>
        <w:spacing w:after="0" w:line="240" w:lineRule="auto"/>
        <w:ind w:left="709" w:hanging="709"/>
        <w:contextualSpacing w:val="0"/>
        <w:jc w:val="both"/>
        <w:rPr>
          <w:rFonts w:cstheme="minorHAnsi"/>
          <w:sz w:val="24"/>
          <w:szCs w:val="24"/>
        </w:rPr>
      </w:pPr>
      <w:r w:rsidRPr="003A0E5E">
        <w:rPr>
          <w:rFonts w:cstheme="minorHAnsi"/>
          <w:sz w:val="24"/>
          <w:szCs w:val="24"/>
        </w:rPr>
        <w:t>Poskytovatel nesmí důvěrné informace použít v rozporu s jejich účelem, nesmí je použít ve prospěch svůj a/nebo třetích osob a nesmí je použít ani v neprospěch Objednatele.</w:t>
      </w:r>
    </w:p>
    <w:p w14:paraId="5D355C80" w14:textId="77777777" w:rsidR="00E403A1" w:rsidRDefault="00E403A1" w:rsidP="00E403A1">
      <w:pPr>
        <w:pStyle w:val="Odstavecseseznamem"/>
        <w:numPr>
          <w:ilvl w:val="1"/>
          <w:numId w:val="3"/>
        </w:numPr>
        <w:spacing w:after="0" w:line="240" w:lineRule="auto"/>
        <w:ind w:left="709" w:hanging="709"/>
        <w:contextualSpacing w:val="0"/>
        <w:jc w:val="both"/>
        <w:rPr>
          <w:rFonts w:cstheme="minorHAnsi"/>
          <w:sz w:val="24"/>
          <w:szCs w:val="24"/>
        </w:rPr>
      </w:pPr>
      <w:r w:rsidRPr="003A0E5E">
        <w:rPr>
          <w:rFonts w:cstheme="minorHAnsi"/>
          <w:sz w:val="24"/>
          <w:szCs w:val="24"/>
        </w:rPr>
        <w:t>Poskytovatel svým podpisem této Smlouvy níže potvrzuje, že souhlasí s tím, aby obraz smlouvy včetně jejích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 Smluvní strany se dohodly, že podklady podle předchozí věty odešle za účelem jejich uveřejnění správci registru smluv Objednatel; tím není dotčeno právo poskytovatele k jejich odeslání. Z důvodu uveřejnění smlouvy v registru smluv tato smlouva již nepodléhá povinnosti uveřejnění na profilu zadavatele (Objednatele) s odkazem na ustanovení § 219, odst. 1, písm. d) ZZVZ.</w:t>
      </w:r>
    </w:p>
    <w:p w14:paraId="632A7696" w14:textId="77777777" w:rsidR="00E403A1" w:rsidRDefault="00E403A1" w:rsidP="00E403A1">
      <w:pPr>
        <w:pStyle w:val="Odstavecseseznamem"/>
        <w:numPr>
          <w:ilvl w:val="1"/>
          <w:numId w:val="3"/>
        </w:numPr>
        <w:spacing w:after="0" w:line="240" w:lineRule="auto"/>
        <w:ind w:left="709" w:hanging="709"/>
        <w:contextualSpacing w:val="0"/>
        <w:jc w:val="both"/>
        <w:rPr>
          <w:rFonts w:cstheme="minorHAnsi"/>
          <w:sz w:val="24"/>
          <w:szCs w:val="24"/>
        </w:rPr>
      </w:pPr>
      <w:r w:rsidRPr="003A0E5E">
        <w:rPr>
          <w:rFonts w:cstheme="minorHAnsi"/>
          <w:sz w:val="24"/>
          <w:szCs w:val="24"/>
        </w:rPr>
        <w:t xml:space="preserve">Ukončení účinnosti této Smlouvy z jakéhokoliv důvodu se nedotkne ustanovení tohoto článku této Smlouvy a jeho účinnost přetrvá i po ukončení účinnosti této Smlouvy. </w:t>
      </w:r>
      <w:r w:rsidRPr="003A0E5E">
        <w:rPr>
          <w:rFonts w:cstheme="minorHAnsi"/>
          <w:sz w:val="24"/>
          <w:szCs w:val="24"/>
        </w:rPr>
        <w:lastRenderedPageBreak/>
        <w:t>Povinnosti podle tohoto odstavce je Poskytovatel povinen zachovávat i po zániku této Smlouvy, vyjma případů, kdy se důvěrné informace stanou prokazatelně veřejně přístupné bez zavinění Poskytovatele. Povinnosti podle tohoto odstavce se nevztahují na případy, kdy je Poskytovatel povinen zveřejnit důvěrnou informaci na základě povinnosti uložené Poskytovateli právním předpisem nebo rozhodnutím orgánu veřejné moci.</w:t>
      </w:r>
    </w:p>
    <w:p w14:paraId="6F145266" w14:textId="77777777" w:rsidR="00E403A1" w:rsidRDefault="00E403A1" w:rsidP="00E403A1">
      <w:pPr>
        <w:pStyle w:val="Odstavecseseznamem"/>
        <w:numPr>
          <w:ilvl w:val="1"/>
          <w:numId w:val="3"/>
        </w:numPr>
        <w:spacing w:after="0" w:line="240" w:lineRule="auto"/>
        <w:ind w:left="709" w:hanging="709"/>
        <w:contextualSpacing w:val="0"/>
        <w:jc w:val="both"/>
        <w:rPr>
          <w:rFonts w:cstheme="minorHAnsi"/>
          <w:sz w:val="24"/>
          <w:szCs w:val="24"/>
        </w:rPr>
      </w:pPr>
      <w:r w:rsidRPr="003A0E5E">
        <w:rPr>
          <w:rFonts w:cstheme="minorHAnsi"/>
          <w:sz w:val="24"/>
          <w:szCs w:val="24"/>
        </w:rPr>
        <w:t>Požadavky na Poskytovatele v oblasti kybernetické bezpečnosti jsou definovány podle platné právní úpravy, především pak podle zákona č. 181/2014 Sb., o kybernetické bezpečnosti a o změně souvisejících zákonů (zákon o kybernetické bezpečnosti), vyhlášky č. 82/2018 Sb., o bezpečnostních opatřeních, kybernetických bezpečnostních incidentech, reaktivních opatřeních, náležitostech podání v oblasti kybernetické bezpečnosti a likvidaci dat (vyhláška o kybernetické bezpečnosti a zákona č. 365/2000 Sb., o informačních systémech veřejné správy.</w:t>
      </w:r>
    </w:p>
    <w:p w14:paraId="04B5F45E" w14:textId="6C7C3C92" w:rsidR="0090194C" w:rsidRPr="003A0E5E" w:rsidRDefault="00E919AB" w:rsidP="00E403A1">
      <w:pPr>
        <w:pStyle w:val="Odstavecseseznamem"/>
        <w:numPr>
          <w:ilvl w:val="1"/>
          <w:numId w:val="3"/>
        </w:numPr>
        <w:spacing w:after="0" w:line="240" w:lineRule="auto"/>
        <w:ind w:left="709" w:hanging="709"/>
        <w:contextualSpacing w:val="0"/>
        <w:jc w:val="both"/>
        <w:rPr>
          <w:rFonts w:cstheme="minorHAnsi"/>
          <w:sz w:val="24"/>
          <w:szCs w:val="24"/>
        </w:rPr>
      </w:pPr>
      <w:r w:rsidRPr="00E919AB">
        <w:rPr>
          <w:rFonts w:cstheme="minorHAnsi"/>
          <w:sz w:val="24"/>
          <w:szCs w:val="24"/>
        </w:rPr>
        <w:t>Tato příloha se vykládá v souladu s platnými právními předpisy o kybernetické bezpečnosti, zejména se zákonem č. 181/2014 Sb., a od 1. listopadu 2025 také se zákonem č. 264/2025 Sb., o kybernetické bezpečnosti, ve znění pozdějších předpisů.</w:t>
      </w:r>
    </w:p>
    <w:p w14:paraId="715F45D6" w14:textId="77777777" w:rsidR="00C018DF" w:rsidRDefault="00C018DF"/>
    <w:sectPr w:rsidR="00C018DF">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75ED24" w14:textId="77777777" w:rsidR="0051384D" w:rsidRDefault="0051384D" w:rsidP="00902589">
      <w:pPr>
        <w:spacing w:after="0" w:line="240" w:lineRule="auto"/>
      </w:pPr>
      <w:r>
        <w:separator/>
      </w:r>
    </w:p>
  </w:endnote>
  <w:endnote w:type="continuationSeparator" w:id="0">
    <w:p w14:paraId="11AB4BFE" w14:textId="77777777" w:rsidR="0051384D" w:rsidRDefault="0051384D" w:rsidP="00902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imes New Roman Bold">
    <w:altName w:val="Times New Roman"/>
    <w:charset w:val="00"/>
    <w:family w:val="auto"/>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8E10A" w14:textId="77777777" w:rsidR="0051384D" w:rsidRDefault="0051384D" w:rsidP="00902589">
      <w:pPr>
        <w:spacing w:after="0" w:line="240" w:lineRule="auto"/>
      </w:pPr>
      <w:r>
        <w:separator/>
      </w:r>
    </w:p>
  </w:footnote>
  <w:footnote w:type="continuationSeparator" w:id="0">
    <w:p w14:paraId="14889EA3" w14:textId="77777777" w:rsidR="0051384D" w:rsidRDefault="0051384D" w:rsidP="00902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687A00" w14:textId="25AA227C" w:rsidR="00902589" w:rsidRPr="00C31A52" w:rsidRDefault="00902589" w:rsidP="00902589">
    <w:pPr>
      <w:pStyle w:val="Zhlav"/>
      <w:jc w:val="center"/>
      <w:rPr>
        <w:rFonts w:ascii="Arial" w:hAnsi="Arial" w:cs="Arial"/>
        <w:b/>
        <w:bCs/>
        <w:sz w:val="28"/>
        <w:szCs w:val="28"/>
      </w:rPr>
    </w:pPr>
    <w:bookmarkStart w:id="0" w:name="_Hlk211857920"/>
    <w:r w:rsidRPr="00C31A52">
      <w:rPr>
        <w:rFonts w:ascii="Arial" w:hAnsi="Arial" w:cs="Arial"/>
        <w:b/>
        <w:bCs/>
        <w:sz w:val="28"/>
        <w:szCs w:val="28"/>
      </w:rPr>
      <w:t xml:space="preserve">Příloha č. </w:t>
    </w:r>
    <w:r w:rsidR="00315280">
      <w:rPr>
        <w:rFonts w:ascii="Arial" w:hAnsi="Arial" w:cs="Arial"/>
        <w:b/>
        <w:bCs/>
        <w:sz w:val="28"/>
        <w:szCs w:val="28"/>
      </w:rPr>
      <w:t>9 zadávací dokumentace</w:t>
    </w:r>
    <w:r w:rsidRPr="00C31A52">
      <w:rPr>
        <w:rFonts w:ascii="Arial" w:hAnsi="Arial" w:cs="Arial"/>
        <w:b/>
        <w:bCs/>
        <w:sz w:val="28"/>
        <w:szCs w:val="28"/>
      </w:rPr>
      <w:t xml:space="preserve"> k veřejné zakázce </w:t>
    </w:r>
    <w:r w:rsidR="00921B7D">
      <w:rPr>
        <w:rFonts w:ascii="Arial" w:hAnsi="Arial" w:cs="Arial"/>
        <w:b/>
        <w:bCs/>
        <w:sz w:val="28"/>
        <w:szCs w:val="28"/>
      </w:rPr>
      <w:t>„Modernizace ICT pro zvýšení úrovně kybernetické bezpečnosti Nemocnice Dačice, a.s.“</w:t>
    </w:r>
  </w:p>
  <w:bookmarkEnd w:id="0"/>
  <w:p w14:paraId="39449CF4" w14:textId="77777777" w:rsidR="00902589" w:rsidRDefault="0090258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1144D7"/>
    <w:multiLevelType w:val="hybridMultilevel"/>
    <w:tmpl w:val="8BAEF672"/>
    <w:lvl w:ilvl="0" w:tplc="D1EC0336">
      <w:start w:val="1"/>
      <w:numFmt w:val="decimal"/>
      <w:lvlText w:val="9.%1."/>
      <w:lvlJc w:val="left"/>
      <w:pPr>
        <w:ind w:left="720" w:hanging="360"/>
      </w:pPr>
      <w:rPr>
        <w:rFonts w:cs="Times New Roman" w:hint="default"/>
        <w:b w:val="0"/>
        <w:sz w:val="22"/>
        <w:szCs w:val="22"/>
      </w:rPr>
    </w:lvl>
    <w:lvl w:ilvl="1" w:tplc="8536E8A6">
      <w:start w:val="1"/>
      <w:numFmt w:val="decimal"/>
      <w:lvlText w:val="9.%2."/>
      <w:lvlJc w:val="left"/>
      <w:pPr>
        <w:ind w:left="1440" w:hanging="360"/>
      </w:pPr>
      <w:rPr>
        <w:rFonts w:ascii="Calibri" w:hAnsi="Calibri" w:cs="Times New Roman" w:hint="default"/>
        <w:b w:val="0"/>
        <w:sz w:val="24"/>
        <w:szCs w:val="24"/>
      </w:rPr>
    </w:lvl>
    <w:lvl w:ilvl="2" w:tplc="0405001B">
      <w:start w:val="1"/>
      <w:numFmt w:val="lowerRoman"/>
      <w:lvlText w:val="%3."/>
      <w:lvlJc w:val="right"/>
      <w:pPr>
        <w:ind w:left="2160" w:hanging="180"/>
      </w:pPr>
    </w:lvl>
    <w:lvl w:ilvl="3" w:tplc="8FDED34E">
      <w:start w:val="12"/>
      <w:numFmt w:val="decimal"/>
      <w:lvlText w:val="%4."/>
      <w:lvlJc w:val="left"/>
      <w:pPr>
        <w:ind w:left="2880" w:hanging="360"/>
      </w:pPr>
      <w:rPr>
        <w:rFonts w:hint="default"/>
      </w:rPr>
    </w:lvl>
    <w:lvl w:ilvl="4" w:tplc="2C7E5068">
      <w:start w:val="1"/>
      <w:numFmt w:val="lowerLetter"/>
      <w:lvlText w:val="%5)"/>
      <w:lvlJc w:val="left"/>
      <w:pPr>
        <w:ind w:left="3600" w:hanging="360"/>
      </w:pPr>
      <w:rPr>
        <w:rFonts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1965592"/>
    <w:multiLevelType w:val="multilevel"/>
    <w:tmpl w:val="D2EE79FE"/>
    <w:lvl w:ilvl="0">
      <w:start w:val="12"/>
      <w:numFmt w:val="decimal"/>
      <w:lvlText w:val="%1."/>
      <w:lvlJc w:val="left"/>
      <w:pPr>
        <w:ind w:left="480" w:hanging="480"/>
      </w:pPr>
      <w:rPr>
        <w:rFonts w:hint="default"/>
      </w:rPr>
    </w:lvl>
    <w:lvl w:ilvl="1">
      <w:start w:val="1"/>
      <w:numFmt w:val="decimal"/>
      <w:lvlText w:val="%2."/>
      <w:lvlJc w:val="left"/>
      <w:pPr>
        <w:ind w:left="840" w:hanging="360"/>
      </w:p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 w15:restartNumberingAfterBreak="0">
    <w:nsid w:val="4EA841B2"/>
    <w:multiLevelType w:val="hybridMultilevel"/>
    <w:tmpl w:val="27762AB0"/>
    <w:lvl w:ilvl="0" w:tplc="2C7E5068">
      <w:start w:val="1"/>
      <w:numFmt w:val="lowerLetter"/>
      <w:lvlText w:val="%1)"/>
      <w:lvlJc w:val="left"/>
      <w:pPr>
        <w:ind w:left="360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68B68E9"/>
    <w:multiLevelType w:val="multilevel"/>
    <w:tmpl w:val="51967926"/>
    <w:lvl w:ilvl="0">
      <w:start w:val="1"/>
      <w:numFmt w:val="upperRoman"/>
      <w:lvlText w:val="%1."/>
      <w:lvlJc w:val="right"/>
      <w:pPr>
        <w:ind w:left="3621" w:hanging="360"/>
      </w:pPr>
      <w:rPr>
        <w:rFonts w:ascii="Calibri" w:hAnsi="Calibri" w:hint="default"/>
        <w:b/>
        <w:sz w:val="24"/>
      </w:rPr>
    </w:lvl>
    <w:lvl w:ilvl="1">
      <w:start w:val="1"/>
      <w:numFmt w:val="decimal"/>
      <w:lvlText w:val="6.%2."/>
      <w:lvlJc w:val="left"/>
      <w:pPr>
        <w:ind w:left="360" w:hanging="360"/>
      </w:pPr>
      <w:rPr>
        <w:rFonts w:ascii="Calibri" w:hAnsi="Calibri" w:cs="Times New Roman" w:hint="default"/>
        <w:b w:val="0"/>
        <w:sz w:val="24"/>
        <w:szCs w:val="24"/>
      </w:rPr>
    </w:lvl>
    <w:lvl w:ilvl="2">
      <w:start w:val="1"/>
      <w:numFmt w:val="bullet"/>
      <w:lvlText w:val=""/>
      <w:lvlJc w:val="left"/>
      <w:pPr>
        <w:ind w:left="1287" w:hanging="720"/>
      </w:pPr>
      <w:rPr>
        <w:rFonts w:ascii="Symbol" w:hAnsi="Symbol" w:cs="Symbol" w:hint="default"/>
      </w:rPr>
    </w:lvl>
    <w:lvl w:ilvl="3">
      <w:start w:val="1"/>
      <w:numFmt w:val="decimal"/>
      <w:lvlText w:val="%1.%2.%3.%4."/>
      <w:lvlJc w:val="left"/>
      <w:pPr>
        <w:ind w:left="4785" w:hanging="720"/>
      </w:pPr>
      <w:rPr>
        <w:rFonts w:hint="default"/>
      </w:rPr>
    </w:lvl>
    <w:lvl w:ilvl="4">
      <w:start w:val="1"/>
      <w:numFmt w:val="decimal"/>
      <w:lvlText w:val="%1.%2.%3.%4.%5."/>
      <w:lvlJc w:val="left"/>
      <w:pPr>
        <w:ind w:left="5145"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5505" w:hanging="1440"/>
      </w:pPr>
      <w:rPr>
        <w:rFonts w:hint="default"/>
      </w:rPr>
    </w:lvl>
    <w:lvl w:ilvl="7">
      <w:start w:val="1"/>
      <w:numFmt w:val="decimal"/>
      <w:lvlText w:val="%1.%2.%3.%4.%5.%6.%7.%8."/>
      <w:lvlJc w:val="left"/>
      <w:pPr>
        <w:ind w:left="5505" w:hanging="1440"/>
      </w:pPr>
      <w:rPr>
        <w:rFonts w:hint="default"/>
      </w:rPr>
    </w:lvl>
    <w:lvl w:ilvl="8">
      <w:start w:val="1"/>
      <w:numFmt w:val="decimal"/>
      <w:lvlText w:val="%1.%2.%3.%4.%5.%6.%7.%8.%9."/>
      <w:lvlJc w:val="left"/>
      <w:pPr>
        <w:ind w:left="5865" w:hanging="1800"/>
      </w:pPr>
      <w:rPr>
        <w:rFonts w:hint="default"/>
      </w:rPr>
    </w:lvl>
  </w:abstractNum>
  <w:abstractNum w:abstractNumId="4" w15:restartNumberingAfterBreak="0">
    <w:nsid w:val="72AB5DD0"/>
    <w:multiLevelType w:val="hybridMultilevel"/>
    <w:tmpl w:val="F5DEF2C2"/>
    <w:lvl w:ilvl="0" w:tplc="006EE8A8">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16cid:durableId="1216703529">
    <w:abstractNumId w:val="3"/>
  </w:num>
  <w:num w:numId="2" w16cid:durableId="1285041394">
    <w:abstractNumId w:val="0"/>
  </w:num>
  <w:num w:numId="3" w16cid:durableId="1646928892">
    <w:abstractNumId w:val="1"/>
  </w:num>
  <w:num w:numId="4" w16cid:durableId="415789760">
    <w:abstractNumId w:val="4"/>
  </w:num>
  <w:num w:numId="5" w16cid:durableId="7890161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3A1"/>
    <w:rsid w:val="00030332"/>
    <w:rsid w:val="00040838"/>
    <w:rsid w:val="00125633"/>
    <w:rsid w:val="001B50AD"/>
    <w:rsid w:val="002F36EC"/>
    <w:rsid w:val="002F37E4"/>
    <w:rsid w:val="00315280"/>
    <w:rsid w:val="003D5012"/>
    <w:rsid w:val="004E3F28"/>
    <w:rsid w:val="004F0FD0"/>
    <w:rsid w:val="0051384D"/>
    <w:rsid w:val="006C1FBE"/>
    <w:rsid w:val="008904E7"/>
    <w:rsid w:val="0090194C"/>
    <w:rsid w:val="00902589"/>
    <w:rsid w:val="00921B7D"/>
    <w:rsid w:val="00974841"/>
    <w:rsid w:val="00997DD2"/>
    <w:rsid w:val="00A77B7C"/>
    <w:rsid w:val="00AF0870"/>
    <w:rsid w:val="00C018DF"/>
    <w:rsid w:val="00C9161A"/>
    <w:rsid w:val="00CA1872"/>
    <w:rsid w:val="00D00D47"/>
    <w:rsid w:val="00E403A1"/>
    <w:rsid w:val="00E919AB"/>
    <w:rsid w:val="00F04718"/>
    <w:rsid w:val="00F522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FA513"/>
  <w15:chartTrackingRefBased/>
  <w15:docId w15:val="{E84B6C30-B147-418A-8822-74B04EBAA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E403A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semiHidden/>
    <w:unhideWhenUsed/>
    <w:qFormat/>
    <w:rsid w:val="00E403A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semiHidden/>
    <w:unhideWhenUsed/>
    <w:qFormat/>
    <w:rsid w:val="00E403A1"/>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E403A1"/>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E403A1"/>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E403A1"/>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E403A1"/>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E403A1"/>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E403A1"/>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403A1"/>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semiHidden/>
    <w:rsid w:val="00E403A1"/>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semiHidden/>
    <w:rsid w:val="00E403A1"/>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E403A1"/>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E403A1"/>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E403A1"/>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E403A1"/>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E403A1"/>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E403A1"/>
    <w:rPr>
      <w:rFonts w:eastAsiaTheme="majorEastAsia" w:cstheme="majorBidi"/>
      <w:color w:val="272727" w:themeColor="text1" w:themeTint="D8"/>
    </w:rPr>
  </w:style>
  <w:style w:type="paragraph" w:styleId="Nzev">
    <w:name w:val="Title"/>
    <w:basedOn w:val="Normln"/>
    <w:next w:val="Normln"/>
    <w:link w:val="NzevChar"/>
    <w:uiPriority w:val="10"/>
    <w:qFormat/>
    <w:rsid w:val="00E403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E403A1"/>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E403A1"/>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E403A1"/>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E403A1"/>
    <w:pPr>
      <w:spacing w:before="160"/>
      <w:jc w:val="center"/>
    </w:pPr>
    <w:rPr>
      <w:i/>
      <w:iCs/>
      <w:color w:val="404040" w:themeColor="text1" w:themeTint="BF"/>
    </w:rPr>
  </w:style>
  <w:style w:type="character" w:customStyle="1" w:styleId="CittChar">
    <w:name w:val="Citát Char"/>
    <w:basedOn w:val="Standardnpsmoodstavce"/>
    <w:link w:val="Citt"/>
    <w:uiPriority w:val="29"/>
    <w:rsid w:val="00E403A1"/>
    <w:rPr>
      <w:i/>
      <w:iCs/>
      <w:color w:val="404040" w:themeColor="text1" w:themeTint="BF"/>
    </w:rPr>
  </w:style>
  <w:style w:type="paragraph" w:styleId="Odstavecseseznamem">
    <w:name w:val="List Paragraph"/>
    <w:basedOn w:val="Normln"/>
    <w:link w:val="OdstavecseseznamemChar"/>
    <w:uiPriority w:val="34"/>
    <w:qFormat/>
    <w:rsid w:val="00E403A1"/>
    <w:pPr>
      <w:ind w:left="720"/>
      <w:contextualSpacing/>
    </w:pPr>
  </w:style>
  <w:style w:type="character" w:styleId="Zdraznnintenzivn">
    <w:name w:val="Intense Emphasis"/>
    <w:basedOn w:val="Standardnpsmoodstavce"/>
    <w:uiPriority w:val="21"/>
    <w:qFormat/>
    <w:rsid w:val="00E403A1"/>
    <w:rPr>
      <w:i/>
      <w:iCs/>
      <w:color w:val="2F5496" w:themeColor="accent1" w:themeShade="BF"/>
    </w:rPr>
  </w:style>
  <w:style w:type="paragraph" w:styleId="Vrazncitt">
    <w:name w:val="Intense Quote"/>
    <w:basedOn w:val="Normln"/>
    <w:next w:val="Normln"/>
    <w:link w:val="VrazncittChar"/>
    <w:uiPriority w:val="30"/>
    <w:qFormat/>
    <w:rsid w:val="00E403A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E403A1"/>
    <w:rPr>
      <w:i/>
      <w:iCs/>
      <w:color w:val="2F5496" w:themeColor="accent1" w:themeShade="BF"/>
    </w:rPr>
  </w:style>
  <w:style w:type="character" w:styleId="Odkazintenzivn">
    <w:name w:val="Intense Reference"/>
    <w:basedOn w:val="Standardnpsmoodstavce"/>
    <w:uiPriority w:val="32"/>
    <w:qFormat/>
    <w:rsid w:val="00E403A1"/>
    <w:rPr>
      <w:b/>
      <w:bCs/>
      <w:smallCaps/>
      <w:color w:val="2F5496" w:themeColor="accent1" w:themeShade="BF"/>
      <w:spacing w:val="5"/>
    </w:rPr>
  </w:style>
  <w:style w:type="character" w:customStyle="1" w:styleId="OdstavecseseznamemChar">
    <w:name w:val="Odstavec se seznamem Char"/>
    <w:link w:val="Odstavecseseznamem"/>
    <w:uiPriority w:val="34"/>
    <w:qFormat/>
    <w:rsid w:val="00E403A1"/>
  </w:style>
  <w:style w:type="paragraph" w:customStyle="1" w:styleId="Styl1">
    <w:name w:val="Styl1"/>
    <w:basedOn w:val="Nadpis2"/>
    <w:qFormat/>
    <w:rsid w:val="00E403A1"/>
    <w:pPr>
      <w:keepLines w:val="0"/>
      <w:tabs>
        <w:tab w:val="left" w:pos="0"/>
      </w:tabs>
      <w:suppressAutoHyphens/>
      <w:overflowPunct w:val="0"/>
      <w:spacing w:before="0" w:after="0" w:line="240" w:lineRule="auto"/>
      <w:jc w:val="center"/>
      <w:textAlignment w:val="baseline"/>
    </w:pPr>
    <w:rPr>
      <w:rFonts w:ascii="Times New Roman" w:eastAsia="Times New Roman" w:hAnsi="Times New Roman" w:cs="Times New Roman"/>
      <w:b/>
      <w:color w:val="auto"/>
      <w:kern w:val="0"/>
      <w:sz w:val="22"/>
      <w:szCs w:val="22"/>
      <w:lang w:eastAsia="ar-SA"/>
      <w14:ligatures w14:val="none"/>
    </w:rPr>
  </w:style>
  <w:style w:type="paragraph" w:styleId="Zhlav">
    <w:name w:val="header"/>
    <w:basedOn w:val="Normln"/>
    <w:link w:val="ZhlavChar"/>
    <w:uiPriority w:val="99"/>
    <w:unhideWhenUsed/>
    <w:rsid w:val="0090258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02589"/>
  </w:style>
  <w:style w:type="paragraph" w:styleId="Zpat">
    <w:name w:val="footer"/>
    <w:basedOn w:val="Normln"/>
    <w:link w:val="ZpatChar"/>
    <w:uiPriority w:val="99"/>
    <w:unhideWhenUsed/>
    <w:rsid w:val="00902589"/>
    <w:pPr>
      <w:tabs>
        <w:tab w:val="center" w:pos="4536"/>
        <w:tab w:val="right" w:pos="9072"/>
      </w:tabs>
      <w:spacing w:after="0" w:line="240" w:lineRule="auto"/>
    </w:pPr>
  </w:style>
  <w:style w:type="character" w:customStyle="1" w:styleId="ZpatChar">
    <w:name w:val="Zápatí Char"/>
    <w:basedOn w:val="Standardnpsmoodstavce"/>
    <w:link w:val="Zpat"/>
    <w:uiPriority w:val="99"/>
    <w:rsid w:val="00902589"/>
  </w:style>
  <w:style w:type="paragraph" w:customStyle="1" w:styleId="CharChar10Char">
    <w:name w:val="Char Char10 Char"/>
    <w:basedOn w:val="Normln"/>
    <w:rsid w:val="00902589"/>
    <w:pPr>
      <w:widowControl w:val="0"/>
      <w:adjustRightInd w:val="0"/>
      <w:spacing w:line="240" w:lineRule="exact"/>
      <w:jc w:val="both"/>
      <w:textAlignment w:val="baseline"/>
    </w:pPr>
    <w:rPr>
      <w:rFonts w:ascii="Times New Roman Bold" w:eastAsia="Times New Roman" w:hAnsi="Times New Roman Bold" w:cs="Times New Roman Bold"/>
      <w:kern w:val="0"/>
      <w:lang w:val="sk-S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dabcdd2-4bac-48a1-8d51-b7d12859669e" xsi:nil="true"/>
    <lcf76f155ced4ddcb4097134ff3c332f xmlns="391a8ea9-160c-41d9-9b29-a21f5cb99e8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D5DF819E7A1B54787D285B71D3A5FFE" ma:contentTypeVersion="14" ma:contentTypeDescription="Vytvoří nový dokument" ma:contentTypeScope="" ma:versionID="fc1f74cb74351fec9cc21bc039866e63">
  <xsd:schema xmlns:xsd="http://www.w3.org/2001/XMLSchema" xmlns:xs="http://www.w3.org/2001/XMLSchema" xmlns:p="http://schemas.microsoft.com/office/2006/metadata/properties" xmlns:ns2="391a8ea9-160c-41d9-9b29-a21f5cb99e81" xmlns:ns3="adabcdd2-4bac-48a1-8d51-b7d12859669e" targetNamespace="http://schemas.microsoft.com/office/2006/metadata/properties" ma:root="true" ma:fieldsID="7bbb8174fa26855b7c63b3e400c91562" ns2:_="" ns3:_="">
    <xsd:import namespace="391a8ea9-160c-41d9-9b29-a21f5cb99e81"/>
    <xsd:import namespace="adabcdd2-4bac-48a1-8d51-b7d12859669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1a8ea9-160c-41d9-9b29-a21f5cb99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a908a0da-de9f-4507-b785-2fc21866d07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dabcdd2-4bac-48a1-8d51-b7d12859669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4705c6c-8cdc-4ec8-b19f-4c491f17e9b1}" ma:internalName="TaxCatchAll" ma:showField="CatchAllData" ma:web="adabcdd2-4bac-48a1-8d51-b7d1285966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244B68-945E-494F-AB4F-DEEB716C043F}">
  <ds:schemaRefs>
    <ds:schemaRef ds:uri="http://schemas.microsoft.com/office/2006/metadata/properties"/>
    <ds:schemaRef ds:uri="http://schemas.microsoft.com/office/infopath/2007/PartnerControls"/>
    <ds:schemaRef ds:uri="adabcdd2-4bac-48a1-8d51-b7d12859669e"/>
    <ds:schemaRef ds:uri="391a8ea9-160c-41d9-9b29-a21f5cb99e81"/>
  </ds:schemaRefs>
</ds:datastoreItem>
</file>

<file path=customXml/itemProps2.xml><?xml version="1.0" encoding="utf-8"?>
<ds:datastoreItem xmlns:ds="http://schemas.openxmlformats.org/officeDocument/2006/customXml" ds:itemID="{5A74A0D3-54AA-42CF-BEAB-044AF4A89220}">
  <ds:schemaRefs>
    <ds:schemaRef ds:uri="http://schemas.microsoft.com/sharepoint/v3/contenttype/forms"/>
  </ds:schemaRefs>
</ds:datastoreItem>
</file>

<file path=customXml/itemProps3.xml><?xml version="1.0" encoding="utf-8"?>
<ds:datastoreItem xmlns:ds="http://schemas.openxmlformats.org/officeDocument/2006/customXml" ds:itemID="{C55DACAF-D4B0-45CF-A12B-D777DA10256D}"/>
</file>

<file path=docProps/app.xml><?xml version="1.0" encoding="utf-8"?>
<Properties xmlns="http://schemas.openxmlformats.org/officeDocument/2006/extended-properties" xmlns:vt="http://schemas.openxmlformats.org/officeDocument/2006/docPropsVTypes">
  <Template>Normal</Template>
  <TotalTime>8</TotalTime>
  <Pages>3</Pages>
  <Words>1123</Words>
  <Characters>6627</Characters>
  <Application>Microsoft Office Word</Application>
  <DocSecurity>0</DocSecurity>
  <Lines>55</Lines>
  <Paragraphs>15</Paragraphs>
  <ScaleCrop>false</ScaleCrop>
  <Company/>
  <LinksUpToDate>false</LinksUpToDate>
  <CharactersWithSpaces>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Procházka Roman, Ing.</dc:creator>
  <cp:keywords/>
  <dc:description/>
  <cp:lastModifiedBy>Lukáš Moravec | enovation</cp:lastModifiedBy>
  <cp:revision>14</cp:revision>
  <dcterms:created xsi:type="dcterms:W3CDTF">2025-10-15T08:23:00Z</dcterms:created>
  <dcterms:modified xsi:type="dcterms:W3CDTF">2025-10-22T13:10:00Z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0x0101000D5DF819E7A1B54787D285B71D3A5FFE</vt:lpwstr>
  </property>
  <property fmtid="{D5CDD505-2E9C-101B-9397-08002B2CF9AE}" pid="3" name="MediaServiceImageTags">
    <vt:lpwstr/>
  </property>
</Properties>
</file>